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039" w:rsidRDefault="000011C6" w:rsidP="000011C6">
      <w:pPr>
        <w:pStyle w:val="Bezodstpw"/>
        <w:spacing w:before="240" w:after="240"/>
        <w:ind w:left="4316" w:hanging="403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Model aparatury/produktu, produkt</w:t>
      </w:r>
      <w:r w:rsidR="00607E32">
        <w:rPr>
          <w:rFonts w:asciiTheme="minorHAnsi" w:hAnsiTheme="minorHAnsi" w:cs="Arial"/>
        </w:rPr>
        <w:t>:</w:t>
      </w:r>
      <w:r w:rsidR="00C206E7" w:rsidRPr="00607E32">
        <w:rPr>
          <w:rFonts w:asciiTheme="minorHAnsi" w:hAnsiTheme="minorHAnsi" w:cs="Arial"/>
        </w:rPr>
        <w:tab/>
      </w:r>
      <w:r w:rsidRPr="000011C6">
        <w:rPr>
          <w:rFonts w:asciiTheme="minorHAnsi" w:hAnsiTheme="minorHAnsi" w:cs="Arial"/>
          <w:b/>
        </w:rPr>
        <w:t>Stacja pogodowa z radiowy</w:t>
      </w:r>
      <w:r>
        <w:rPr>
          <w:rFonts w:asciiTheme="minorHAnsi" w:hAnsiTheme="minorHAnsi" w:cs="Arial"/>
          <w:b/>
        </w:rPr>
        <w:t xml:space="preserve">m czujnikiem zewnętrznym </w:t>
      </w:r>
    </w:p>
    <w:p w:rsidR="00C206E7" w:rsidRPr="00607E32" w:rsidRDefault="00E57039" w:rsidP="00E57039">
      <w:pPr>
        <w:pStyle w:val="Bezodstpw"/>
        <w:spacing w:before="240" w:after="240"/>
        <w:ind w:left="4316" w:hanging="4032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SP79  </w:t>
      </w:r>
      <w:r w:rsidR="000011C6" w:rsidRPr="000011C6">
        <w:rPr>
          <w:rFonts w:asciiTheme="minorHAnsi" w:hAnsiTheme="minorHAnsi" w:cs="Arial"/>
          <w:b/>
        </w:rPr>
        <w:t xml:space="preserve">typ: </w:t>
      </w:r>
      <w:r w:rsidR="00EE48A0">
        <w:rPr>
          <w:rFonts w:asciiTheme="minorHAnsi" w:hAnsiTheme="minorHAnsi" w:cs="Arial"/>
          <w:b/>
        </w:rPr>
        <w:t>EM3382</w:t>
      </w:r>
    </w:p>
    <w:p w:rsidR="000B60B2" w:rsidRPr="006261B1" w:rsidRDefault="00C206E7" w:rsidP="00C206E7">
      <w:pPr>
        <w:pStyle w:val="Bezodstpw"/>
        <w:spacing w:before="240"/>
        <w:ind w:left="284"/>
        <w:rPr>
          <w:rFonts w:asciiTheme="minorHAnsi" w:hAnsiTheme="minorHAnsi" w:cs="Arial"/>
          <w:b/>
        </w:rPr>
      </w:pPr>
      <w:r w:rsidRPr="006261B1">
        <w:rPr>
          <w:rFonts w:asciiTheme="minorHAnsi" w:hAnsiTheme="minorHAnsi" w:cs="Arial"/>
        </w:rPr>
        <w:t>Producent</w:t>
      </w:r>
      <w:r w:rsidR="000B60B2" w:rsidRPr="006261B1">
        <w:rPr>
          <w:rFonts w:asciiTheme="minorHAnsi" w:hAnsiTheme="minorHAnsi" w:cs="Arial"/>
        </w:rPr>
        <w:t>:</w:t>
      </w:r>
      <w:r w:rsidR="000B60B2" w:rsidRPr="006261B1">
        <w:rPr>
          <w:rFonts w:asciiTheme="minorHAnsi" w:hAnsiTheme="minorHAnsi" w:cs="Arial"/>
        </w:rPr>
        <w:tab/>
      </w:r>
      <w:r w:rsidR="000B60B2" w:rsidRPr="006261B1">
        <w:rPr>
          <w:rFonts w:asciiTheme="minorHAnsi" w:hAnsiTheme="minorHAnsi" w:cs="Arial"/>
        </w:rPr>
        <w:tab/>
      </w:r>
      <w:r w:rsidR="000011C6" w:rsidRPr="000011C6">
        <w:rPr>
          <w:rFonts w:asciiTheme="minorHAnsi" w:hAnsiTheme="minorHAnsi" w:cs="Arial"/>
          <w:b/>
        </w:rPr>
        <w:t>PHU Metrex – Marek Chuchracki</w:t>
      </w:r>
    </w:p>
    <w:p w:rsidR="00821486" w:rsidRPr="00607E32" w:rsidRDefault="00FE6099" w:rsidP="00300DAD">
      <w:pPr>
        <w:pStyle w:val="Bezodstpw"/>
        <w:spacing w:after="240"/>
        <w:ind w:left="284"/>
        <w:rPr>
          <w:rFonts w:asciiTheme="minorHAnsi" w:hAnsiTheme="minorHAnsi" w:cs="Arial"/>
          <w:b/>
        </w:rPr>
      </w:pPr>
      <w:r w:rsidRPr="00607E32">
        <w:rPr>
          <w:rFonts w:asciiTheme="minorHAnsi" w:hAnsiTheme="minorHAnsi" w:cs="Arial"/>
        </w:rPr>
        <w:t>Adres:</w:t>
      </w:r>
      <w:r w:rsidRPr="00607E32">
        <w:rPr>
          <w:rFonts w:asciiTheme="minorHAnsi" w:hAnsiTheme="minorHAnsi" w:cs="Arial"/>
        </w:rPr>
        <w:tab/>
      </w:r>
      <w:r w:rsidRPr="00607E32">
        <w:rPr>
          <w:rFonts w:asciiTheme="minorHAnsi" w:hAnsiTheme="minorHAnsi" w:cs="Arial"/>
        </w:rPr>
        <w:tab/>
      </w:r>
      <w:r w:rsidR="000011C6" w:rsidRPr="000011C6">
        <w:rPr>
          <w:rFonts w:asciiTheme="minorHAnsi" w:hAnsiTheme="minorHAnsi" w:cs="Arial"/>
          <w:b/>
        </w:rPr>
        <w:t>ul. Ks. Wujka 9-11, 61-581 Poznań</w:t>
      </w:r>
    </w:p>
    <w:p w:rsidR="00C206E7" w:rsidRDefault="00C206E7" w:rsidP="00300DAD">
      <w:pPr>
        <w:pStyle w:val="Bezodstpw"/>
        <w:spacing w:after="240"/>
        <w:ind w:left="284"/>
        <w:jc w:val="both"/>
        <w:rPr>
          <w:noProof/>
          <w:lang w:eastAsia="pl-PL"/>
        </w:rPr>
      </w:pPr>
      <w:r w:rsidRPr="005F504B">
        <w:rPr>
          <w:rFonts w:ascii="Calibri" w:hAnsi="Calibri" w:cs="Arial"/>
          <w:b/>
          <w:sz w:val="28"/>
          <w:szCs w:val="28"/>
        </w:rPr>
        <w:t>Niniejsza deklaracja zgodności wydana zostaje na wyłączną odpowiedzialność producenta</w:t>
      </w:r>
      <w:r w:rsidR="000011C6">
        <w:rPr>
          <w:rFonts w:ascii="Calibri" w:hAnsi="Calibri" w:cs="Arial"/>
          <w:b/>
          <w:sz w:val="28"/>
          <w:szCs w:val="28"/>
        </w:rPr>
        <w:t xml:space="preserve"> (lub instalatora)</w:t>
      </w:r>
      <w:r w:rsidRPr="005F504B">
        <w:rPr>
          <w:rFonts w:ascii="Calibri" w:hAnsi="Calibri" w:cs="Arial"/>
          <w:b/>
          <w:sz w:val="28"/>
          <w:szCs w:val="28"/>
        </w:rPr>
        <w:t>.</w:t>
      </w:r>
      <w:r w:rsidR="000341BF" w:rsidRPr="000341BF">
        <w:rPr>
          <w:noProof/>
          <w:lang w:eastAsia="pl-PL"/>
        </w:rPr>
        <w:t xml:space="preserve"> </w:t>
      </w:r>
    </w:p>
    <w:p w:rsidR="00C731CA" w:rsidRDefault="000011C6" w:rsidP="00300DAD">
      <w:pPr>
        <w:pStyle w:val="Bezodstpw"/>
        <w:spacing w:after="60"/>
        <w:ind w:left="284"/>
        <w:jc w:val="both"/>
        <w:rPr>
          <w:rFonts w:ascii="Calibri" w:hAnsi="Calibri" w:cs="Arial"/>
        </w:rPr>
      </w:pPr>
      <w:r w:rsidRPr="001741CC">
        <w:rPr>
          <w:rFonts w:ascii="Calibri" w:hAnsi="Calibri" w:cs="Arial"/>
        </w:rPr>
        <w:t>Przedmiot deklaracji:</w:t>
      </w:r>
    </w:p>
    <w:p w:rsidR="00AD035F" w:rsidRDefault="00EE48A0" w:rsidP="00C731CA">
      <w:pPr>
        <w:pStyle w:val="Bezodstpw"/>
        <w:spacing w:after="60"/>
        <w:ind w:left="284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</w:t>
      </w:r>
    </w:p>
    <w:p w:rsidR="000011C6" w:rsidRPr="001741CC" w:rsidRDefault="00E57039" w:rsidP="00E57039">
      <w:pPr>
        <w:pStyle w:val="Bezodstpw"/>
        <w:spacing w:after="60"/>
        <w:ind w:left="284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2133600" cy="152402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148" cy="153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DAD" w:rsidRPr="005F504B" w:rsidRDefault="00300DAD" w:rsidP="00F21017">
      <w:pPr>
        <w:pStyle w:val="Bezodstpw"/>
        <w:spacing w:after="240"/>
        <w:ind w:left="284"/>
        <w:jc w:val="center"/>
        <w:rPr>
          <w:rFonts w:ascii="Calibri" w:hAnsi="Calibri" w:cs="Arial"/>
          <w:b/>
          <w:sz w:val="28"/>
          <w:szCs w:val="28"/>
        </w:rPr>
      </w:pPr>
    </w:p>
    <w:p w:rsidR="00527B54" w:rsidRPr="00607E32" w:rsidRDefault="00527B54" w:rsidP="00C034B2">
      <w:pPr>
        <w:spacing w:before="120" w:after="120"/>
        <w:ind w:left="284"/>
        <w:rPr>
          <w:rFonts w:asciiTheme="minorHAnsi" w:hAnsiTheme="minorHAnsi" w:cs="Arial"/>
        </w:rPr>
      </w:pPr>
      <w:r w:rsidRPr="00607E32">
        <w:rPr>
          <w:rFonts w:asciiTheme="minorHAnsi" w:hAnsiTheme="minorHAnsi" w:cs="Arial"/>
        </w:rPr>
        <w:t>Wymieniony powyżej przedmiot nini</w:t>
      </w:r>
      <w:r w:rsidR="00F9126C">
        <w:rPr>
          <w:rFonts w:asciiTheme="minorHAnsi" w:hAnsiTheme="minorHAnsi" w:cs="Arial"/>
        </w:rPr>
        <w:t>ejszej deklaracji jest zgodny z</w:t>
      </w:r>
      <w:r w:rsidR="001741CC">
        <w:rPr>
          <w:rFonts w:asciiTheme="minorHAnsi" w:hAnsiTheme="minorHAnsi" w:cs="Arial"/>
        </w:rPr>
        <w:t xml:space="preserve"> </w:t>
      </w:r>
      <w:r w:rsidRPr="00607E32">
        <w:rPr>
          <w:rFonts w:asciiTheme="minorHAnsi" w:hAnsiTheme="minorHAnsi" w:cs="Arial"/>
        </w:rPr>
        <w:t xml:space="preserve">odnośnymi wymaganiami unijnego prawodawstwa </w:t>
      </w:r>
      <w:proofErr w:type="spellStart"/>
      <w:r w:rsidRPr="00607E32">
        <w:rPr>
          <w:rFonts w:asciiTheme="minorHAnsi" w:hAnsiTheme="minorHAnsi" w:cs="Arial"/>
        </w:rPr>
        <w:t>harmonizacyjnego</w:t>
      </w:r>
      <w:proofErr w:type="spellEnd"/>
      <w:r w:rsidRPr="00607E32">
        <w:rPr>
          <w:rFonts w:asciiTheme="minorHAnsi" w:hAnsiTheme="minorHAnsi" w:cs="Arial"/>
        </w:rPr>
        <w:t>:</w:t>
      </w:r>
    </w:p>
    <w:p w:rsidR="00597BAC" w:rsidRPr="00C034B2" w:rsidRDefault="00C034B2" w:rsidP="00C034B2">
      <w:pPr>
        <w:pStyle w:val="Akapitzlist"/>
        <w:numPr>
          <w:ilvl w:val="0"/>
          <w:numId w:val="8"/>
        </w:numPr>
        <w:rPr>
          <w:rFonts w:asciiTheme="minorHAnsi" w:hAnsiTheme="minorHAnsi" w:cs="Arial"/>
          <w:b/>
          <w:sz w:val="28"/>
          <w:szCs w:val="28"/>
        </w:rPr>
      </w:pPr>
      <w:r w:rsidRPr="00C034B2">
        <w:rPr>
          <w:rFonts w:asciiTheme="minorHAnsi" w:hAnsiTheme="minorHAnsi" w:cs="Arial"/>
          <w:b/>
          <w:sz w:val="28"/>
          <w:szCs w:val="28"/>
        </w:rPr>
        <w:t>Dyrektywą Parlamentu Europejskiego i Rady 2014/35/UE z dnia 26 lutego 2</w:t>
      </w:r>
      <w:r>
        <w:rPr>
          <w:rFonts w:asciiTheme="minorHAnsi" w:hAnsiTheme="minorHAnsi" w:cs="Arial"/>
          <w:b/>
          <w:sz w:val="28"/>
          <w:szCs w:val="28"/>
        </w:rPr>
        <w:t>014 r. w </w:t>
      </w:r>
      <w:r w:rsidRPr="00C034B2">
        <w:rPr>
          <w:rFonts w:asciiTheme="minorHAnsi" w:hAnsiTheme="minorHAnsi" w:cs="Arial"/>
          <w:b/>
          <w:sz w:val="28"/>
          <w:szCs w:val="28"/>
        </w:rPr>
        <w:t>sprawie harmonizacji ustawodawstw państw członkowskich odnoszących się do udostępniania na ry</w:t>
      </w:r>
      <w:bookmarkStart w:id="0" w:name="_GoBack"/>
      <w:bookmarkEnd w:id="0"/>
      <w:r w:rsidRPr="00C034B2">
        <w:rPr>
          <w:rFonts w:asciiTheme="minorHAnsi" w:hAnsiTheme="minorHAnsi" w:cs="Arial"/>
          <w:b/>
          <w:sz w:val="28"/>
          <w:szCs w:val="28"/>
        </w:rPr>
        <w:t>nku sprzętu elektrycznego przewidzianego do stosowania w określonych granicach napięcia (Dz.U. L 96 z 29.3.2014, str. 357—374)</w:t>
      </w:r>
    </w:p>
    <w:p w:rsidR="00527B54" w:rsidRPr="00C034B2" w:rsidRDefault="00C034B2" w:rsidP="00C034B2">
      <w:pPr>
        <w:pStyle w:val="Akapitzlist"/>
        <w:numPr>
          <w:ilvl w:val="0"/>
          <w:numId w:val="8"/>
        </w:numPr>
        <w:rPr>
          <w:rFonts w:asciiTheme="minorHAnsi" w:hAnsiTheme="minorHAnsi" w:cs="Arial"/>
          <w:b/>
          <w:sz w:val="28"/>
          <w:szCs w:val="28"/>
        </w:rPr>
      </w:pPr>
      <w:r w:rsidRPr="00C034B2">
        <w:rPr>
          <w:rFonts w:asciiTheme="minorHAnsi" w:hAnsiTheme="minorHAnsi" w:cs="Arial"/>
          <w:b/>
          <w:sz w:val="28"/>
          <w:szCs w:val="28"/>
        </w:rPr>
        <w:t>Dyrektywą Parlamentu Europejskiego i Rady 2011/6</w:t>
      </w:r>
      <w:r>
        <w:rPr>
          <w:rFonts w:asciiTheme="minorHAnsi" w:hAnsiTheme="minorHAnsi" w:cs="Arial"/>
          <w:b/>
          <w:sz w:val="28"/>
          <w:szCs w:val="28"/>
        </w:rPr>
        <w:t>5/UE z dnia 8 czerwca 2011 r. w </w:t>
      </w:r>
      <w:r w:rsidRPr="00C034B2">
        <w:rPr>
          <w:rFonts w:asciiTheme="minorHAnsi" w:hAnsiTheme="minorHAnsi" w:cs="Arial"/>
          <w:b/>
          <w:sz w:val="28"/>
          <w:szCs w:val="28"/>
        </w:rPr>
        <w:t>sprawie ograniczenia stosowania niektórych niebezpiecznych substancji w sprzęcie elektrycznym i elektronicznym (Dz.U. L 174 z 1.7.2011, str. 88—110)</w:t>
      </w:r>
    </w:p>
    <w:p w:rsidR="00C034B2" w:rsidRDefault="00C034B2" w:rsidP="00C034B2">
      <w:pPr>
        <w:pStyle w:val="Akapitzlist"/>
        <w:numPr>
          <w:ilvl w:val="0"/>
          <w:numId w:val="8"/>
        </w:numPr>
        <w:spacing w:after="600"/>
        <w:rPr>
          <w:rFonts w:asciiTheme="minorHAnsi" w:hAnsiTheme="minorHAnsi" w:cs="Arial"/>
          <w:b/>
          <w:sz w:val="28"/>
          <w:szCs w:val="28"/>
        </w:rPr>
      </w:pPr>
      <w:r w:rsidRPr="00C034B2">
        <w:rPr>
          <w:rFonts w:asciiTheme="minorHAnsi" w:hAnsiTheme="minorHAnsi" w:cs="Arial"/>
          <w:b/>
          <w:sz w:val="28"/>
          <w:szCs w:val="28"/>
        </w:rPr>
        <w:t>Dyrektywą Parlamentu Europejskiego i Rady 2014/53/UE</w:t>
      </w:r>
      <w:r>
        <w:rPr>
          <w:rFonts w:asciiTheme="minorHAnsi" w:hAnsiTheme="minorHAnsi" w:cs="Arial"/>
          <w:b/>
          <w:sz w:val="28"/>
          <w:szCs w:val="28"/>
        </w:rPr>
        <w:t xml:space="preserve"> z dnia 16 kwietnia 2014 r. w </w:t>
      </w:r>
      <w:r w:rsidRPr="00C034B2">
        <w:rPr>
          <w:rFonts w:asciiTheme="minorHAnsi" w:hAnsiTheme="minorHAnsi" w:cs="Arial"/>
          <w:b/>
          <w:sz w:val="28"/>
          <w:szCs w:val="28"/>
        </w:rPr>
        <w:t>sprawie harmonizacji ustawodawstw państw członkowskich dotyczących udostępniania na rynku urządzeń radiowych i uchylająca dyrektywę 1999/5/WE</w:t>
      </w:r>
    </w:p>
    <w:p w:rsidR="002C5A4F" w:rsidRPr="002C5A4F" w:rsidRDefault="002C5A4F" w:rsidP="002C5A4F">
      <w:pPr>
        <w:spacing w:after="600"/>
        <w:rPr>
          <w:rFonts w:asciiTheme="minorHAnsi" w:hAnsiTheme="minorHAnsi" w:cs="Arial"/>
          <w:b/>
          <w:sz w:val="28"/>
          <w:szCs w:val="28"/>
        </w:rPr>
      </w:pPr>
    </w:p>
    <w:p w:rsidR="00F21017" w:rsidRDefault="00F21017" w:rsidP="00527B54">
      <w:pPr>
        <w:spacing w:before="240" w:after="240"/>
        <w:ind w:left="284"/>
        <w:rPr>
          <w:rFonts w:asciiTheme="minorHAnsi" w:hAnsiTheme="minorHAnsi" w:cs="Arial"/>
        </w:rPr>
      </w:pPr>
    </w:p>
    <w:p w:rsidR="00527B54" w:rsidRPr="00607E32" w:rsidRDefault="000011C6" w:rsidP="00527B54">
      <w:pPr>
        <w:spacing w:before="240" w:after="240"/>
        <w:ind w:left="284"/>
        <w:rPr>
          <w:rFonts w:asciiTheme="minorHAnsi" w:hAnsiTheme="minorHAnsi" w:cs="Arial"/>
        </w:rPr>
      </w:pPr>
      <w:r w:rsidRPr="000011C6">
        <w:rPr>
          <w:rFonts w:asciiTheme="minorHAnsi" w:hAnsiTheme="minorHAnsi" w:cs="Arial"/>
        </w:rPr>
        <w:t>Odwołania do odnośnych norm zharmonizowanych,</w:t>
      </w:r>
      <w:r w:rsidR="00F83FCD">
        <w:rPr>
          <w:rFonts w:asciiTheme="minorHAnsi" w:hAnsiTheme="minorHAnsi" w:cs="Arial"/>
        </w:rPr>
        <w:t xml:space="preserve"> które zastosowano, wraz z datą/</w:t>
      </w:r>
      <w:r w:rsidR="003067B5">
        <w:rPr>
          <w:rFonts w:asciiTheme="minorHAnsi" w:hAnsiTheme="minorHAnsi" w:cs="Arial"/>
        </w:rPr>
        <w:t xml:space="preserve">wersją </w:t>
      </w:r>
      <w:r w:rsidRPr="000011C6">
        <w:rPr>
          <w:rFonts w:asciiTheme="minorHAnsi" w:hAnsiTheme="minorHAnsi" w:cs="Arial"/>
        </w:rPr>
        <w:t>normy, lub do innych specyfikacji technicznych, wraz z datą specyfikacji, w odniesieniu do których deklarowana jest zgodność: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752"/>
        <w:gridCol w:w="8060"/>
      </w:tblGrid>
      <w:tr w:rsidR="00607E32" w:rsidTr="007C58A6">
        <w:tc>
          <w:tcPr>
            <w:tcW w:w="2752" w:type="dxa"/>
            <w:vAlign w:val="center"/>
          </w:tcPr>
          <w:p w:rsidR="00C91100" w:rsidRPr="00C91100" w:rsidRDefault="00F83FCD" w:rsidP="00F9126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3FCD">
              <w:rPr>
                <w:rFonts w:asciiTheme="minorHAnsi" w:hAnsiTheme="minorHAnsi" w:cs="Arial"/>
                <w:sz w:val="20"/>
                <w:szCs w:val="20"/>
              </w:rPr>
              <w:t>EN 60950-1:2006, +A11:2009, +A12:2011, +A1:2010, +A2:2013, +AC:2011</w:t>
            </w:r>
          </w:p>
        </w:tc>
        <w:tc>
          <w:tcPr>
            <w:tcW w:w="8060" w:type="dxa"/>
            <w:vAlign w:val="center"/>
          </w:tcPr>
          <w:p w:rsidR="00C91100" w:rsidRPr="00C91100" w:rsidRDefault="00F83FCD" w:rsidP="00F83FC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3FCD">
              <w:rPr>
                <w:rFonts w:asciiTheme="minorHAnsi" w:hAnsiTheme="minorHAnsi" w:cs="Arial"/>
                <w:sz w:val="20"/>
                <w:szCs w:val="20"/>
              </w:rPr>
              <w:t>Urządzenia techniki informatycznej – Bezpieczeństwo – Część 1: Wymagania podstawowe</w:t>
            </w:r>
          </w:p>
        </w:tc>
      </w:tr>
      <w:tr w:rsidR="00C27CFC" w:rsidTr="007C58A6">
        <w:tc>
          <w:tcPr>
            <w:tcW w:w="2752" w:type="dxa"/>
            <w:vAlign w:val="center"/>
          </w:tcPr>
          <w:p w:rsidR="00C27CFC" w:rsidRPr="00913275" w:rsidRDefault="003E6BC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E6BC9">
              <w:rPr>
                <w:rFonts w:asciiTheme="minorHAnsi" w:hAnsiTheme="minorHAnsi" w:cs="Arial"/>
                <w:sz w:val="20"/>
                <w:szCs w:val="20"/>
              </w:rPr>
              <w:t>EN 55024:201</w:t>
            </w:r>
            <w:r w:rsidR="007C58A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060" w:type="dxa"/>
            <w:vAlign w:val="center"/>
          </w:tcPr>
          <w:p w:rsidR="00C27CFC" w:rsidRPr="00913275" w:rsidRDefault="003E6BC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E6BC9">
              <w:rPr>
                <w:rFonts w:asciiTheme="minorHAnsi" w:hAnsiTheme="minorHAnsi" w:cs="Arial"/>
                <w:sz w:val="20"/>
                <w:szCs w:val="20"/>
              </w:rPr>
              <w:t>Kompatybilność elektromagnetyczna (EMC) – Urządzenia informatyczne – Charakterystyki odporności – Poziomy dopuszczalne i metody pomiaru</w:t>
            </w:r>
          </w:p>
        </w:tc>
      </w:tr>
      <w:tr w:rsidR="00F05F03" w:rsidTr="007C58A6">
        <w:tc>
          <w:tcPr>
            <w:tcW w:w="2752" w:type="dxa"/>
            <w:vAlign w:val="center"/>
          </w:tcPr>
          <w:p w:rsidR="00F05F03" w:rsidRPr="003E6BC9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EN 62479:2010</w:t>
            </w:r>
          </w:p>
        </w:tc>
        <w:tc>
          <w:tcPr>
            <w:tcW w:w="8060" w:type="dxa"/>
            <w:vAlign w:val="center"/>
          </w:tcPr>
          <w:p w:rsidR="00F05F03" w:rsidRPr="003E6BC9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Ocena zgodności elektronicznych i elektrycznych urządzeń małej mocy z ograniczeniami podstawowymi dotyczącymi ekspozycji ludności w polach elektromagnetycznych (10 MHz - 300 GHz)</w:t>
            </w:r>
          </w:p>
        </w:tc>
      </w:tr>
      <w:tr w:rsidR="00F05F03" w:rsidTr="007C58A6">
        <w:tc>
          <w:tcPr>
            <w:tcW w:w="2752" w:type="dxa"/>
            <w:vAlign w:val="center"/>
          </w:tcPr>
          <w:p w:rsidR="00F05F03" w:rsidRPr="00F05F03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 xml:space="preserve">EN 301 489-1 </w:t>
            </w:r>
            <w:r w:rsidR="007C58A6">
              <w:rPr>
                <w:rFonts w:asciiTheme="minorHAnsi" w:hAnsiTheme="minorHAnsi" w:cs="Arial"/>
                <w:sz w:val="20"/>
                <w:szCs w:val="20"/>
              </w:rPr>
              <w:t>V2.2.0:2017-03</w:t>
            </w:r>
          </w:p>
        </w:tc>
        <w:tc>
          <w:tcPr>
            <w:tcW w:w="8060" w:type="dxa"/>
            <w:vAlign w:val="center"/>
          </w:tcPr>
          <w:p w:rsidR="00F05F03" w:rsidRPr="00F05F03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Kompatybilność elektromagnetyczna i zagadnienia widma radiowego (ERM) – Norma kompatybilności elektromagnetycznej (EMC) dotycząca urządzeń i służb radiowych – Część 1: Wspólne wymagania techniczne</w:t>
            </w:r>
          </w:p>
        </w:tc>
      </w:tr>
      <w:tr w:rsidR="009F5C89" w:rsidTr="007C58A6">
        <w:tc>
          <w:tcPr>
            <w:tcW w:w="2752" w:type="dxa"/>
            <w:vAlign w:val="center"/>
          </w:tcPr>
          <w:p w:rsidR="009F5C89" w:rsidRPr="00F05F03" w:rsidRDefault="009F5C8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5C89">
              <w:rPr>
                <w:rFonts w:asciiTheme="minorHAnsi" w:hAnsiTheme="minorHAnsi" w:cs="Arial"/>
                <w:sz w:val="20"/>
                <w:szCs w:val="20"/>
              </w:rPr>
              <w:t xml:space="preserve">EN 301 489-3 </w:t>
            </w:r>
            <w:r w:rsidR="007C58A6">
              <w:rPr>
                <w:rFonts w:asciiTheme="minorHAnsi" w:hAnsiTheme="minorHAnsi" w:cs="Arial"/>
                <w:sz w:val="20"/>
                <w:szCs w:val="20"/>
              </w:rPr>
              <w:t>V2.1.1:2017-3</w:t>
            </w:r>
          </w:p>
        </w:tc>
        <w:tc>
          <w:tcPr>
            <w:tcW w:w="8060" w:type="dxa"/>
            <w:vAlign w:val="center"/>
          </w:tcPr>
          <w:p w:rsidR="009F5C89" w:rsidRPr="00F05F03" w:rsidRDefault="009F5C8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5C89">
              <w:rPr>
                <w:rFonts w:asciiTheme="minorHAnsi" w:hAnsiTheme="minorHAnsi" w:cs="Arial"/>
                <w:sz w:val="20"/>
                <w:szCs w:val="20"/>
              </w:rPr>
              <w:t>Kompatybilność elektromagnetyczna i zagadnienia widma radiowego (ERM) - Norma kompatybilności elektromagnetycznej (EMC) dotycząca urządzeń i systemów radiowych Część 3: Wymagania szczegółowe dla urządzeń bliskiego zasięgu (SRD) pracujących na częstotliwościach pomiędzy 9 kHz i 246 GHz</w:t>
            </w:r>
          </w:p>
        </w:tc>
      </w:tr>
      <w:tr w:rsidR="006E58AA" w:rsidTr="007C58A6">
        <w:tc>
          <w:tcPr>
            <w:tcW w:w="2752" w:type="dxa"/>
            <w:vAlign w:val="center"/>
          </w:tcPr>
          <w:p w:rsidR="006E58AA" w:rsidRPr="009F5C89" w:rsidRDefault="006E58AA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58AA">
              <w:rPr>
                <w:rFonts w:asciiTheme="minorHAnsi" w:hAnsiTheme="minorHAnsi" w:cs="Arial"/>
                <w:sz w:val="20"/>
                <w:szCs w:val="20"/>
              </w:rPr>
              <w:t xml:space="preserve">EN </w:t>
            </w:r>
            <w:r w:rsidR="007C58A6">
              <w:rPr>
                <w:rFonts w:asciiTheme="minorHAnsi" w:hAnsiTheme="minorHAnsi" w:cs="Arial"/>
                <w:sz w:val="20"/>
                <w:szCs w:val="20"/>
              </w:rPr>
              <w:t>300330-2V3.1.1:2017-02</w:t>
            </w:r>
          </w:p>
        </w:tc>
        <w:tc>
          <w:tcPr>
            <w:tcW w:w="8060" w:type="dxa"/>
            <w:vAlign w:val="center"/>
          </w:tcPr>
          <w:p w:rsidR="006E58AA" w:rsidRPr="009F5C89" w:rsidRDefault="007C58A6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Urządzenia bliskiego zasięgu – wyposażenie radiowe w zakresie częstotliwości ok 9kHz do 25MHz. Zgodnie z wymaganiami art.3.2 dyrektywy 2014/53/EU </w:t>
            </w:r>
          </w:p>
        </w:tc>
      </w:tr>
      <w:tr w:rsidR="00F05F03" w:rsidTr="007C58A6">
        <w:tc>
          <w:tcPr>
            <w:tcW w:w="2752" w:type="dxa"/>
            <w:vAlign w:val="center"/>
          </w:tcPr>
          <w:p w:rsidR="00F05F03" w:rsidRPr="003E6BC9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EN 300 220-</w:t>
            </w:r>
            <w:r w:rsidR="008B74F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F05F03">
              <w:rPr>
                <w:rFonts w:asciiTheme="minorHAnsi" w:hAnsiTheme="minorHAnsi" w:cs="Arial"/>
                <w:sz w:val="20"/>
                <w:szCs w:val="20"/>
              </w:rPr>
              <w:t xml:space="preserve"> V</w:t>
            </w:r>
            <w:r w:rsidR="008B74FB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F05F03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8B74F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F05F03">
              <w:rPr>
                <w:rFonts w:asciiTheme="minorHAnsi" w:hAnsiTheme="minorHAnsi" w:cs="Arial"/>
                <w:sz w:val="20"/>
                <w:szCs w:val="20"/>
              </w:rPr>
              <w:t>.1</w:t>
            </w:r>
            <w:r w:rsidR="007C58A6">
              <w:rPr>
                <w:rFonts w:asciiTheme="minorHAnsi" w:hAnsiTheme="minorHAnsi" w:cs="Arial"/>
                <w:sz w:val="20"/>
                <w:szCs w:val="20"/>
              </w:rPr>
              <w:t>:2017-02</w:t>
            </w:r>
          </w:p>
        </w:tc>
        <w:tc>
          <w:tcPr>
            <w:tcW w:w="8060" w:type="dxa"/>
            <w:vAlign w:val="center"/>
          </w:tcPr>
          <w:p w:rsidR="00F05F03" w:rsidRPr="008B74FB" w:rsidRDefault="008B74FB" w:rsidP="009132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74FB">
              <w:rPr>
                <w:rFonts w:asciiTheme="minorHAnsi" w:hAnsiTheme="minorHAnsi" w:cstheme="minorHAnsi"/>
                <w:sz w:val="20"/>
                <w:szCs w:val="20"/>
              </w:rPr>
              <w:t>Urządzenia bliskiego zasięgu (SRD) pracujące w zakresie częstotliwości od 25 MHz do 1 000 MHz -- Część 1: Parametry techniczne i metody pomiarów</w:t>
            </w:r>
          </w:p>
        </w:tc>
      </w:tr>
      <w:tr w:rsidR="003F446D" w:rsidTr="007C58A6">
        <w:tc>
          <w:tcPr>
            <w:tcW w:w="2752" w:type="dxa"/>
            <w:vAlign w:val="center"/>
          </w:tcPr>
          <w:p w:rsidR="003F446D" w:rsidRPr="00913275" w:rsidRDefault="00F05F03" w:rsidP="003F44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EN 300 220-1 V2.4.1</w:t>
            </w:r>
          </w:p>
        </w:tc>
        <w:tc>
          <w:tcPr>
            <w:tcW w:w="8060" w:type="dxa"/>
            <w:vAlign w:val="center"/>
          </w:tcPr>
          <w:p w:rsidR="008B74FB" w:rsidRPr="008B74FB" w:rsidRDefault="008B74FB" w:rsidP="008B74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74FB">
              <w:rPr>
                <w:rFonts w:asciiTheme="minorHAnsi" w:hAnsiTheme="minorHAnsi" w:cstheme="minorHAnsi"/>
                <w:sz w:val="20"/>
                <w:szCs w:val="20"/>
              </w:rPr>
              <w:t>Urządzenia bliskiego zasięgu (SRD) pracujące w zakresie częstotliwości od 25 MHz do 1 000 MHz -- Część 2: Zharmonizowana norma zapewniająca spełnienie zasadniczych wymagań zgodnie z artykułem 3.2 dyrektywy 2014/53/UE przez niespecyficzne urządzenia radiowe</w:t>
            </w:r>
          </w:p>
          <w:p w:rsidR="003F446D" w:rsidRPr="008B74FB" w:rsidRDefault="003F446D" w:rsidP="003F44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8A6" w:rsidTr="007C58A6">
        <w:tc>
          <w:tcPr>
            <w:tcW w:w="2752" w:type="dxa"/>
            <w:vAlign w:val="center"/>
          </w:tcPr>
          <w:p w:rsidR="007C58A6" w:rsidRDefault="002C5A4F" w:rsidP="003F44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 61558-1;2009</w:t>
            </w:r>
          </w:p>
          <w:p w:rsidR="002C5A4F" w:rsidRPr="00F05F03" w:rsidRDefault="002C5A4F" w:rsidP="003F44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 61558-2-2009</w:t>
            </w:r>
          </w:p>
        </w:tc>
        <w:tc>
          <w:tcPr>
            <w:tcW w:w="8060" w:type="dxa"/>
            <w:vAlign w:val="center"/>
          </w:tcPr>
          <w:p w:rsidR="007C58A6" w:rsidRPr="002C5A4F" w:rsidRDefault="002C5A4F" w:rsidP="008B74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5A4F">
              <w:rPr>
                <w:rFonts w:asciiTheme="minorHAnsi" w:hAnsiTheme="minorHAnsi" w:cstheme="minorHAnsi"/>
                <w:sz w:val="20"/>
                <w:szCs w:val="20"/>
              </w:rPr>
              <w:t>Bezpieczeństwo użytkowania transformatorów, zasilaczy, dławików i podobnych urządzeń -- Część 1: Wymagania ogólne i badani</w:t>
            </w:r>
          </w:p>
        </w:tc>
      </w:tr>
    </w:tbl>
    <w:p w:rsidR="006F5493" w:rsidRPr="005F504B" w:rsidRDefault="005F504B" w:rsidP="005F504B">
      <w:pPr>
        <w:pStyle w:val="Bezodstpw"/>
        <w:spacing w:before="240"/>
        <w:ind w:left="284"/>
        <w:rPr>
          <w:rFonts w:asciiTheme="minorHAnsi" w:hAnsiTheme="minorHAnsi" w:cs="Arial"/>
        </w:rPr>
      </w:pPr>
      <w:r w:rsidRPr="005F504B">
        <w:rPr>
          <w:rFonts w:asciiTheme="minorHAnsi" w:hAnsiTheme="minorHAnsi" w:cs="Arial"/>
        </w:rPr>
        <w:t>Informacje dodatkowe</w:t>
      </w:r>
      <w:r>
        <w:rPr>
          <w:rFonts w:asciiTheme="minorHAnsi" w:hAnsiTheme="minorHAnsi" w:cs="Arial"/>
        </w:rPr>
        <w:t xml:space="preserve">: </w:t>
      </w:r>
      <w:r w:rsidR="00F21017" w:rsidRPr="00F21017">
        <w:rPr>
          <w:rFonts w:asciiTheme="minorHAnsi" w:hAnsiTheme="minorHAnsi" w:cs="Arial"/>
        </w:rPr>
        <w:t>brak</w:t>
      </w:r>
    </w:p>
    <w:p w:rsidR="004C62B3" w:rsidRDefault="004C62B3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39244A" w:rsidRDefault="0039244A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39244A" w:rsidRDefault="0039244A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39244A" w:rsidRDefault="0039244A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39244A" w:rsidRPr="00D72A2C" w:rsidRDefault="0039244A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E21407" w:rsidRPr="008D468B" w:rsidRDefault="00F21017" w:rsidP="008D468B">
      <w:pPr>
        <w:spacing w:line="216" w:lineRule="auto"/>
        <w:ind w:left="3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Poznań, 0</w:t>
      </w:r>
      <w:r w:rsidR="0091231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EE48A0">
        <w:rPr>
          <w:rFonts w:ascii="Arial" w:hAnsi="Arial" w:cs="Arial"/>
          <w:sz w:val="20"/>
          <w:szCs w:val="20"/>
        </w:rPr>
        <w:t>05.19</w:t>
      </w:r>
      <w:r w:rsidR="00962770" w:rsidRPr="00D72A2C">
        <w:rPr>
          <w:rFonts w:ascii="Arial" w:hAnsi="Arial" w:cs="Arial"/>
          <w:sz w:val="20"/>
          <w:szCs w:val="20"/>
        </w:rPr>
        <w:t xml:space="preserve">                             </w:t>
      </w:r>
      <w:r w:rsidR="00E21407" w:rsidRPr="00D72A2C">
        <w:rPr>
          <w:rFonts w:ascii="Arial" w:hAnsi="Arial" w:cs="Arial"/>
          <w:sz w:val="20"/>
          <w:szCs w:val="20"/>
        </w:rPr>
        <w:tab/>
      </w:r>
      <w:r w:rsidR="00962770" w:rsidRPr="00D72A2C">
        <w:rPr>
          <w:rFonts w:ascii="Arial" w:hAnsi="Arial" w:cs="Arial"/>
          <w:sz w:val="20"/>
          <w:szCs w:val="20"/>
        </w:rPr>
        <w:t>podpis</w:t>
      </w:r>
      <w:r w:rsidR="009F5F9E" w:rsidRPr="00D72A2C">
        <w:rPr>
          <w:rFonts w:ascii="Arial" w:hAnsi="Arial" w:cs="Arial"/>
          <w:sz w:val="20"/>
          <w:szCs w:val="20"/>
        </w:rPr>
        <w:t xml:space="preserve"> </w:t>
      </w:r>
      <w:r w:rsidR="00962770" w:rsidRPr="00D72A2C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Marek Chuchracki</w:t>
      </w:r>
      <w:r w:rsidR="00E21407" w:rsidRPr="00D72A2C">
        <w:rPr>
          <w:rFonts w:ascii="Arial" w:hAnsi="Arial" w:cs="Arial"/>
          <w:sz w:val="20"/>
          <w:szCs w:val="20"/>
        </w:rPr>
        <w:br/>
      </w:r>
    </w:p>
    <w:sectPr w:rsidR="00E21407" w:rsidRPr="008D468B" w:rsidSect="00523464">
      <w:headerReference w:type="default" r:id="rId9"/>
      <w:footerReference w:type="default" r:id="rId10"/>
      <w:pgSz w:w="12240" w:h="15840"/>
      <w:pgMar w:top="851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93B" w:rsidRDefault="00D3493B">
      <w:r>
        <w:separator/>
      </w:r>
    </w:p>
  </w:endnote>
  <w:endnote w:type="continuationSeparator" w:id="0">
    <w:p w:rsidR="00D3493B" w:rsidRDefault="00D3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53E" w:rsidRDefault="00A3053E" w:rsidP="00FD1D06">
    <w:pPr>
      <w:pStyle w:val="Stopka"/>
      <w:jc w:val="right"/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PAGE </w:instrText>
    </w:r>
    <w:r>
      <w:rPr>
        <w:rStyle w:val="Numerstrony"/>
        <w:rFonts w:ascii="Arial" w:hAnsi="Arial" w:cs="Arial"/>
      </w:rPr>
      <w:fldChar w:fldCharType="separate"/>
    </w:r>
    <w:r w:rsidR="00AD035F">
      <w:rPr>
        <w:rStyle w:val="Numerstrony"/>
        <w:rFonts w:ascii="Arial" w:hAnsi="Arial" w:cs="Arial"/>
        <w:noProof/>
      </w:rPr>
      <w:t>2</w:t>
    </w:r>
    <w:r>
      <w:rPr>
        <w:rStyle w:val="Numerstrony"/>
        <w:rFonts w:ascii="Arial" w:hAnsi="Arial" w:cs="Arial"/>
      </w:rPr>
      <w:fldChar w:fldCharType="end"/>
    </w:r>
    <w:r>
      <w:rPr>
        <w:rStyle w:val="Numerstrony"/>
        <w:rFonts w:ascii="Arial" w:hAnsi="Arial" w:cs="Arial"/>
      </w:rPr>
      <w:t xml:space="preserve"> / 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NUMPAGES </w:instrText>
    </w:r>
    <w:r>
      <w:rPr>
        <w:rStyle w:val="Numerstrony"/>
        <w:rFonts w:ascii="Arial" w:hAnsi="Arial" w:cs="Arial"/>
      </w:rPr>
      <w:fldChar w:fldCharType="separate"/>
    </w:r>
    <w:r w:rsidR="00AD035F">
      <w:rPr>
        <w:rStyle w:val="Numerstrony"/>
        <w:rFonts w:ascii="Arial" w:hAnsi="Arial" w:cs="Arial"/>
        <w:noProof/>
      </w:rPr>
      <w:t>2</w:t>
    </w:r>
    <w:r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93B" w:rsidRDefault="00D3493B">
      <w:r>
        <w:separator/>
      </w:r>
    </w:p>
  </w:footnote>
  <w:footnote w:type="continuationSeparator" w:id="0">
    <w:p w:rsidR="00D3493B" w:rsidRDefault="00D3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62" w:rsidRDefault="006261B1" w:rsidP="00F96262">
    <w:pPr>
      <w:pStyle w:val="Nagwek"/>
      <w:ind w:left="1440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 wp14:anchorId="05F5650C" wp14:editId="32323329">
          <wp:simplePos x="0" y="0"/>
          <wp:positionH relativeFrom="column">
            <wp:posOffset>4592955</wp:posOffset>
          </wp:positionH>
          <wp:positionV relativeFrom="paragraph">
            <wp:posOffset>78105</wp:posOffset>
          </wp:positionV>
          <wp:extent cx="2473325" cy="539750"/>
          <wp:effectExtent l="0" t="0" r="3175" b="0"/>
          <wp:wrapNone/>
          <wp:docPr id="1" name="Obraz 1" descr="C:\_E\CiOZ\Klienci\2016\Metrex - Poznań\04 Dokumentacja\Odkurzacz EMA\02 Dokumentacja CertPartner\Deklaracja zgodności\logo_metr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E\CiOZ\Klienci\2016\Metrex - Poznań\04 Dokumentacja\Odkurzacz EMA\02 Dokumentacja CertPartner\Deklaracja zgodności\logo_metr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53E" w:rsidRPr="00732CDE">
      <w:rPr>
        <w:rFonts w:ascii="Arial" w:hAnsi="Arial" w:cs="Arial"/>
        <w:b/>
        <w:sz w:val="44"/>
        <w:szCs w:val="44"/>
      </w:rPr>
      <w:t>Dekl</w:t>
    </w:r>
    <w:r w:rsidR="00FE6099">
      <w:rPr>
        <w:rFonts w:ascii="Arial" w:hAnsi="Arial" w:cs="Arial"/>
        <w:b/>
        <w:sz w:val="44"/>
        <w:szCs w:val="44"/>
      </w:rPr>
      <w:t>aracja zgodności U</w:t>
    </w:r>
    <w:r w:rsidR="00A3053E" w:rsidRPr="00732CDE">
      <w:rPr>
        <w:rFonts w:ascii="Arial" w:hAnsi="Arial" w:cs="Arial"/>
        <w:b/>
        <w:sz w:val="44"/>
        <w:szCs w:val="44"/>
      </w:rPr>
      <w:t>E</w:t>
    </w:r>
    <w:r w:rsidR="00385D5F">
      <w:rPr>
        <w:rFonts w:ascii="Arial" w:hAnsi="Arial" w:cs="Arial"/>
        <w:b/>
        <w:sz w:val="36"/>
        <w:szCs w:val="36"/>
      </w:rPr>
      <w:br/>
    </w:r>
  </w:p>
  <w:p w:rsidR="00A3053E" w:rsidRDefault="00F96262" w:rsidP="00F96262">
    <w:pPr>
      <w:pStyle w:val="Nagwek"/>
      <w:tabs>
        <w:tab w:val="clear" w:pos="4703"/>
        <w:tab w:val="center" w:pos="3828"/>
      </w:tabs>
      <w:spacing w:after="240"/>
      <w:ind w:left="1440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A3053E" w:rsidRPr="000011C6">
      <w:rPr>
        <w:rFonts w:ascii="Arial" w:hAnsi="Arial" w:cs="Arial"/>
        <w:b/>
      </w:rPr>
      <w:t xml:space="preserve">Nr </w:t>
    </w:r>
    <w:r w:rsidR="00F21017">
      <w:rPr>
        <w:rFonts w:ascii="Arial" w:hAnsi="Arial" w:cs="Arial"/>
        <w:b/>
      </w:rPr>
      <w:t>SP</w:t>
    </w:r>
    <w:r w:rsidR="00E57039">
      <w:rPr>
        <w:rFonts w:ascii="Arial" w:hAnsi="Arial" w:cs="Arial"/>
        <w:b/>
      </w:rPr>
      <w:t>79</w:t>
    </w:r>
    <w:r w:rsidR="00EE48A0">
      <w:rPr>
        <w:rFonts w:ascii="Arial" w:hAnsi="Arial" w:cs="Arial"/>
        <w:b/>
      </w:rPr>
      <w:t xml:space="preserve"> </w:t>
    </w:r>
    <w:r w:rsidR="00F21017">
      <w:rPr>
        <w:rFonts w:ascii="Arial" w:hAnsi="Arial" w:cs="Arial"/>
        <w:b/>
      </w:rPr>
      <w:t>/201</w:t>
    </w:r>
    <w:r w:rsidR="00EE48A0">
      <w:rPr>
        <w:rFonts w:ascii="Arial" w:hAnsi="Arial" w:cs="Arial"/>
        <w:b/>
      </w:rPr>
      <w:t>9</w:t>
    </w:r>
    <w:r w:rsidR="00F21017">
      <w:rPr>
        <w:rFonts w:ascii="Arial" w:hAnsi="Arial" w:cs="Arial"/>
        <w:b/>
      </w:rPr>
      <w:t>/</w:t>
    </w:r>
    <w:r w:rsidR="00AD035F">
      <w:rPr>
        <w:rFonts w:ascii="Arial" w:hAnsi="Arial" w:cs="Arial"/>
        <w:b/>
      </w:rPr>
      <w:t>1</w:t>
    </w:r>
  </w:p>
  <w:p w:rsidR="00A3053E" w:rsidRPr="00CD6165" w:rsidRDefault="00A3053E" w:rsidP="00CD6165">
    <w:pPr>
      <w:pStyle w:val="Nagwek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18C66C0"/>
    <w:multiLevelType w:val="hybridMultilevel"/>
    <w:tmpl w:val="23C82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3630F"/>
    <w:multiLevelType w:val="hybridMultilevel"/>
    <w:tmpl w:val="FC3AD85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F7786"/>
    <w:multiLevelType w:val="hybridMultilevel"/>
    <w:tmpl w:val="23A02E78"/>
    <w:lvl w:ilvl="0" w:tplc="8FE023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1C1404"/>
    <w:multiLevelType w:val="hybridMultilevel"/>
    <w:tmpl w:val="36F01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34095"/>
    <w:multiLevelType w:val="hybridMultilevel"/>
    <w:tmpl w:val="C112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07F0"/>
    <w:multiLevelType w:val="hybridMultilevel"/>
    <w:tmpl w:val="541880C4"/>
    <w:lvl w:ilvl="0" w:tplc="00000003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611165"/>
    <w:multiLevelType w:val="hybridMultilevel"/>
    <w:tmpl w:val="00B21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C9"/>
    <w:rsid w:val="000011C6"/>
    <w:rsid w:val="000341BF"/>
    <w:rsid w:val="00036CB1"/>
    <w:rsid w:val="00046C88"/>
    <w:rsid w:val="00056D26"/>
    <w:rsid w:val="000801EF"/>
    <w:rsid w:val="00090DF9"/>
    <w:rsid w:val="00096962"/>
    <w:rsid w:val="000B60B2"/>
    <w:rsid w:val="000C656B"/>
    <w:rsid w:val="000C6F3D"/>
    <w:rsid w:val="000D443A"/>
    <w:rsid w:val="000D5C02"/>
    <w:rsid w:val="001045B8"/>
    <w:rsid w:val="00116CBF"/>
    <w:rsid w:val="0012433C"/>
    <w:rsid w:val="001338BE"/>
    <w:rsid w:val="0013639B"/>
    <w:rsid w:val="00136E4B"/>
    <w:rsid w:val="00165E67"/>
    <w:rsid w:val="0017166A"/>
    <w:rsid w:val="001741CC"/>
    <w:rsid w:val="001744EF"/>
    <w:rsid w:val="001A1E15"/>
    <w:rsid w:val="001E3FF6"/>
    <w:rsid w:val="001E7B63"/>
    <w:rsid w:val="001F6B3D"/>
    <w:rsid w:val="0020050F"/>
    <w:rsid w:val="00201D67"/>
    <w:rsid w:val="0020547E"/>
    <w:rsid w:val="00223D55"/>
    <w:rsid w:val="00250153"/>
    <w:rsid w:val="00260B66"/>
    <w:rsid w:val="00261344"/>
    <w:rsid w:val="00271EE8"/>
    <w:rsid w:val="002822F1"/>
    <w:rsid w:val="0029133C"/>
    <w:rsid w:val="002A1DBE"/>
    <w:rsid w:val="002A1EAF"/>
    <w:rsid w:val="002A6F75"/>
    <w:rsid w:val="002C5A4F"/>
    <w:rsid w:val="002D4F32"/>
    <w:rsid w:val="002E25CE"/>
    <w:rsid w:val="002E3A56"/>
    <w:rsid w:val="002E7935"/>
    <w:rsid w:val="002F3C2C"/>
    <w:rsid w:val="002F6D01"/>
    <w:rsid w:val="00300DAD"/>
    <w:rsid w:val="003067B5"/>
    <w:rsid w:val="0030715B"/>
    <w:rsid w:val="003074C8"/>
    <w:rsid w:val="003110E1"/>
    <w:rsid w:val="003319B2"/>
    <w:rsid w:val="00334D23"/>
    <w:rsid w:val="003370F7"/>
    <w:rsid w:val="00345538"/>
    <w:rsid w:val="0036008C"/>
    <w:rsid w:val="00372C0F"/>
    <w:rsid w:val="00381326"/>
    <w:rsid w:val="00385D5F"/>
    <w:rsid w:val="0039244A"/>
    <w:rsid w:val="003934A6"/>
    <w:rsid w:val="003A46C5"/>
    <w:rsid w:val="003A541F"/>
    <w:rsid w:val="003A65DC"/>
    <w:rsid w:val="003A76D6"/>
    <w:rsid w:val="003D7C50"/>
    <w:rsid w:val="003E0684"/>
    <w:rsid w:val="003E6BC9"/>
    <w:rsid w:val="003F003E"/>
    <w:rsid w:val="003F2C4F"/>
    <w:rsid w:val="003F3D5E"/>
    <w:rsid w:val="003F446D"/>
    <w:rsid w:val="00400A48"/>
    <w:rsid w:val="00405703"/>
    <w:rsid w:val="00410E06"/>
    <w:rsid w:val="0042188D"/>
    <w:rsid w:val="004266B8"/>
    <w:rsid w:val="004301B8"/>
    <w:rsid w:val="00437366"/>
    <w:rsid w:val="004531AE"/>
    <w:rsid w:val="00465BDC"/>
    <w:rsid w:val="004925D1"/>
    <w:rsid w:val="004959FE"/>
    <w:rsid w:val="00497B48"/>
    <w:rsid w:val="004A3E58"/>
    <w:rsid w:val="004A4744"/>
    <w:rsid w:val="004B1F6C"/>
    <w:rsid w:val="004C1594"/>
    <w:rsid w:val="004C2B26"/>
    <w:rsid w:val="004C62B3"/>
    <w:rsid w:val="004D23A6"/>
    <w:rsid w:val="004D5AFC"/>
    <w:rsid w:val="004D7266"/>
    <w:rsid w:val="004F0349"/>
    <w:rsid w:val="004F464A"/>
    <w:rsid w:val="00500F2F"/>
    <w:rsid w:val="005172CF"/>
    <w:rsid w:val="00522F31"/>
    <w:rsid w:val="00523464"/>
    <w:rsid w:val="00527129"/>
    <w:rsid w:val="00527B54"/>
    <w:rsid w:val="005331E1"/>
    <w:rsid w:val="005364F6"/>
    <w:rsid w:val="005469BE"/>
    <w:rsid w:val="00550635"/>
    <w:rsid w:val="00552E32"/>
    <w:rsid w:val="00563D9B"/>
    <w:rsid w:val="00567243"/>
    <w:rsid w:val="00567595"/>
    <w:rsid w:val="0057664A"/>
    <w:rsid w:val="00576EAB"/>
    <w:rsid w:val="00583622"/>
    <w:rsid w:val="00585EF7"/>
    <w:rsid w:val="00592F00"/>
    <w:rsid w:val="00593308"/>
    <w:rsid w:val="005952D8"/>
    <w:rsid w:val="00597BAC"/>
    <w:rsid w:val="005B703C"/>
    <w:rsid w:val="005C3D8D"/>
    <w:rsid w:val="005C5044"/>
    <w:rsid w:val="005C6B61"/>
    <w:rsid w:val="005D36DF"/>
    <w:rsid w:val="005D6E12"/>
    <w:rsid w:val="005D79C9"/>
    <w:rsid w:val="005E33AE"/>
    <w:rsid w:val="005F504B"/>
    <w:rsid w:val="00607E32"/>
    <w:rsid w:val="00612E13"/>
    <w:rsid w:val="006261B1"/>
    <w:rsid w:val="00643256"/>
    <w:rsid w:val="006473D7"/>
    <w:rsid w:val="0065110C"/>
    <w:rsid w:val="006811C6"/>
    <w:rsid w:val="00694A5F"/>
    <w:rsid w:val="00696029"/>
    <w:rsid w:val="0069641D"/>
    <w:rsid w:val="006A082D"/>
    <w:rsid w:val="006A6276"/>
    <w:rsid w:val="006B10EB"/>
    <w:rsid w:val="006C1648"/>
    <w:rsid w:val="006D1BB0"/>
    <w:rsid w:val="006D2880"/>
    <w:rsid w:val="006E5793"/>
    <w:rsid w:val="006E58AA"/>
    <w:rsid w:val="006F5493"/>
    <w:rsid w:val="007163A5"/>
    <w:rsid w:val="00732CDE"/>
    <w:rsid w:val="00757B5A"/>
    <w:rsid w:val="00772DFD"/>
    <w:rsid w:val="00774DBA"/>
    <w:rsid w:val="00777C32"/>
    <w:rsid w:val="00791604"/>
    <w:rsid w:val="00795D77"/>
    <w:rsid w:val="007A31A6"/>
    <w:rsid w:val="007A349E"/>
    <w:rsid w:val="007B2B28"/>
    <w:rsid w:val="007B760B"/>
    <w:rsid w:val="007C2658"/>
    <w:rsid w:val="007C3026"/>
    <w:rsid w:val="007C58A6"/>
    <w:rsid w:val="007C7E1B"/>
    <w:rsid w:val="007F5758"/>
    <w:rsid w:val="00807441"/>
    <w:rsid w:val="00811589"/>
    <w:rsid w:val="00821486"/>
    <w:rsid w:val="00821E29"/>
    <w:rsid w:val="00840BBB"/>
    <w:rsid w:val="008458D3"/>
    <w:rsid w:val="00852F2F"/>
    <w:rsid w:val="0085691E"/>
    <w:rsid w:val="00857324"/>
    <w:rsid w:val="008639AA"/>
    <w:rsid w:val="00872F1C"/>
    <w:rsid w:val="00873FC0"/>
    <w:rsid w:val="0087697C"/>
    <w:rsid w:val="008A6157"/>
    <w:rsid w:val="008B74FB"/>
    <w:rsid w:val="008C68F1"/>
    <w:rsid w:val="008D468B"/>
    <w:rsid w:val="008E4D6F"/>
    <w:rsid w:val="008E6B78"/>
    <w:rsid w:val="0091231C"/>
    <w:rsid w:val="00913275"/>
    <w:rsid w:val="00930C73"/>
    <w:rsid w:val="00946B9C"/>
    <w:rsid w:val="009559F5"/>
    <w:rsid w:val="00962770"/>
    <w:rsid w:val="00964440"/>
    <w:rsid w:val="009676BB"/>
    <w:rsid w:val="009702CF"/>
    <w:rsid w:val="009811D0"/>
    <w:rsid w:val="00995BBE"/>
    <w:rsid w:val="009A578C"/>
    <w:rsid w:val="009B0024"/>
    <w:rsid w:val="009B3F38"/>
    <w:rsid w:val="009D26DE"/>
    <w:rsid w:val="009D5B1A"/>
    <w:rsid w:val="009D76EC"/>
    <w:rsid w:val="009E26BA"/>
    <w:rsid w:val="009F5C89"/>
    <w:rsid w:val="009F5F9E"/>
    <w:rsid w:val="00A105F8"/>
    <w:rsid w:val="00A17DC0"/>
    <w:rsid w:val="00A23EA6"/>
    <w:rsid w:val="00A3053E"/>
    <w:rsid w:val="00A4261A"/>
    <w:rsid w:val="00A47344"/>
    <w:rsid w:val="00A63EDA"/>
    <w:rsid w:val="00A83891"/>
    <w:rsid w:val="00A84392"/>
    <w:rsid w:val="00AA493E"/>
    <w:rsid w:val="00AC074F"/>
    <w:rsid w:val="00AC65A9"/>
    <w:rsid w:val="00AC74E5"/>
    <w:rsid w:val="00AD035F"/>
    <w:rsid w:val="00AD06CF"/>
    <w:rsid w:val="00AD4932"/>
    <w:rsid w:val="00AE3275"/>
    <w:rsid w:val="00AF3F48"/>
    <w:rsid w:val="00B07D91"/>
    <w:rsid w:val="00B3095D"/>
    <w:rsid w:val="00B3598A"/>
    <w:rsid w:val="00B60E25"/>
    <w:rsid w:val="00B77F83"/>
    <w:rsid w:val="00B80F52"/>
    <w:rsid w:val="00BA26CD"/>
    <w:rsid w:val="00BA2999"/>
    <w:rsid w:val="00BA5EFE"/>
    <w:rsid w:val="00BC4A2E"/>
    <w:rsid w:val="00BD28A2"/>
    <w:rsid w:val="00BD377B"/>
    <w:rsid w:val="00BD40B0"/>
    <w:rsid w:val="00BE2E4A"/>
    <w:rsid w:val="00BF707B"/>
    <w:rsid w:val="00C018D4"/>
    <w:rsid w:val="00C034B2"/>
    <w:rsid w:val="00C039E7"/>
    <w:rsid w:val="00C206E7"/>
    <w:rsid w:val="00C211EE"/>
    <w:rsid w:val="00C27CFC"/>
    <w:rsid w:val="00C31DEB"/>
    <w:rsid w:val="00C34046"/>
    <w:rsid w:val="00C44C88"/>
    <w:rsid w:val="00C53670"/>
    <w:rsid w:val="00C731CA"/>
    <w:rsid w:val="00C7512D"/>
    <w:rsid w:val="00C871D5"/>
    <w:rsid w:val="00C906F6"/>
    <w:rsid w:val="00C91013"/>
    <w:rsid w:val="00C91100"/>
    <w:rsid w:val="00C92EB5"/>
    <w:rsid w:val="00C97CEB"/>
    <w:rsid w:val="00CB1049"/>
    <w:rsid w:val="00CB2BB1"/>
    <w:rsid w:val="00CB6F20"/>
    <w:rsid w:val="00CD6165"/>
    <w:rsid w:val="00CE2A9B"/>
    <w:rsid w:val="00CE6528"/>
    <w:rsid w:val="00CE7FED"/>
    <w:rsid w:val="00D028F2"/>
    <w:rsid w:val="00D0360E"/>
    <w:rsid w:val="00D05296"/>
    <w:rsid w:val="00D066D0"/>
    <w:rsid w:val="00D11F41"/>
    <w:rsid w:val="00D23FA6"/>
    <w:rsid w:val="00D27AD2"/>
    <w:rsid w:val="00D3493B"/>
    <w:rsid w:val="00D353A3"/>
    <w:rsid w:val="00D37645"/>
    <w:rsid w:val="00D446B5"/>
    <w:rsid w:val="00D47D52"/>
    <w:rsid w:val="00D509FF"/>
    <w:rsid w:val="00D72A2C"/>
    <w:rsid w:val="00D7686C"/>
    <w:rsid w:val="00D868B3"/>
    <w:rsid w:val="00DA74A3"/>
    <w:rsid w:val="00DC5136"/>
    <w:rsid w:val="00DD0B00"/>
    <w:rsid w:val="00DD5809"/>
    <w:rsid w:val="00DE7DF6"/>
    <w:rsid w:val="00DF12C2"/>
    <w:rsid w:val="00E1254E"/>
    <w:rsid w:val="00E144F4"/>
    <w:rsid w:val="00E21090"/>
    <w:rsid w:val="00E21407"/>
    <w:rsid w:val="00E322B7"/>
    <w:rsid w:val="00E37EF1"/>
    <w:rsid w:val="00E37FE7"/>
    <w:rsid w:val="00E46852"/>
    <w:rsid w:val="00E542B3"/>
    <w:rsid w:val="00E548B7"/>
    <w:rsid w:val="00E57039"/>
    <w:rsid w:val="00E57436"/>
    <w:rsid w:val="00E73CD7"/>
    <w:rsid w:val="00E87CED"/>
    <w:rsid w:val="00E93A79"/>
    <w:rsid w:val="00EA1689"/>
    <w:rsid w:val="00EA3A9F"/>
    <w:rsid w:val="00EB0D7A"/>
    <w:rsid w:val="00EB0FE2"/>
    <w:rsid w:val="00EC5994"/>
    <w:rsid w:val="00EE48A0"/>
    <w:rsid w:val="00EF6EB7"/>
    <w:rsid w:val="00F05F03"/>
    <w:rsid w:val="00F063B8"/>
    <w:rsid w:val="00F11690"/>
    <w:rsid w:val="00F21017"/>
    <w:rsid w:val="00F218DB"/>
    <w:rsid w:val="00F241CA"/>
    <w:rsid w:val="00F25E59"/>
    <w:rsid w:val="00F271D5"/>
    <w:rsid w:val="00F53916"/>
    <w:rsid w:val="00F604C0"/>
    <w:rsid w:val="00F663F7"/>
    <w:rsid w:val="00F67D04"/>
    <w:rsid w:val="00F83754"/>
    <w:rsid w:val="00F83FCD"/>
    <w:rsid w:val="00F85518"/>
    <w:rsid w:val="00F9013A"/>
    <w:rsid w:val="00F9126C"/>
    <w:rsid w:val="00F96262"/>
    <w:rsid w:val="00FC232F"/>
    <w:rsid w:val="00FD0B3A"/>
    <w:rsid w:val="00FD1D06"/>
    <w:rsid w:val="00FE4C41"/>
    <w:rsid w:val="00FE6099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C44CD"/>
  <w15:docId w15:val="{097EA1BF-872A-4877-96BE-D6C20A16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character" w:customStyle="1" w:styleId="biggertext">
    <w:name w:val="biggertext"/>
    <w:basedOn w:val="Domylnaczcionkaakapitu"/>
    <w:rsid w:val="00E87CED"/>
  </w:style>
  <w:style w:type="paragraph" w:styleId="Tekstdymka">
    <w:name w:val="Balloon Text"/>
    <w:basedOn w:val="Normalny"/>
    <w:semiHidden/>
    <w:rsid w:val="002501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E548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48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48B7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54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48B7"/>
    <w:rPr>
      <w:b/>
      <w:bCs/>
      <w:lang w:val="pl-PL" w:eastAsia="ar-SA"/>
    </w:rPr>
  </w:style>
  <w:style w:type="paragraph" w:styleId="Bezodstpw">
    <w:name w:val="No Spacing"/>
    <w:uiPriority w:val="1"/>
    <w:qFormat/>
    <w:rsid w:val="001F6B3D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136E4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663F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9133C"/>
    <w:pPr>
      <w:ind w:left="720"/>
      <w:contextualSpacing/>
    </w:pPr>
  </w:style>
  <w:style w:type="table" w:styleId="Tabela-Siatka">
    <w:name w:val="Table Grid"/>
    <w:basedOn w:val="Standardowy"/>
    <w:rsid w:val="00C9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EAD3-1DB9-47ED-A28F-89488E5B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Deklaracja zgodności WE</vt:lpstr>
      <vt:lpstr>Deklaracja zgodności WE</vt:lpstr>
    </vt:vector>
  </TitlesOfParts>
  <Company>Fenomen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zgodności WE</dc:title>
  <dc:creator>Maestro</dc:creator>
  <cp:lastModifiedBy>Tomasz Napierała</cp:lastModifiedBy>
  <cp:revision>2</cp:revision>
  <cp:lastPrinted>2019-06-12T10:10:00Z</cp:lastPrinted>
  <dcterms:created xsi:type="dcterms:W3CDTF">2019-06-12T10:12:00Z</dcterms:created>
  <dcterms:modified xsi:type="dcterms:W3CDTF">2019-06-12T10:12:00Z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2</vt:i4>
  </property>
  <property fmtid="{D5CDD505-2E9C-101B-9397-08002B2CF9AE}" pid="3" name="lqmsess">
    <vt:lpwstr>1ce293d8-f718-44c2-81b4-f0de0abc0fd1</vt:lpwstr>
  </property>
</Properties>
</file>